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6634" w14:textId="0639A18B" w:rsidR="00603DE8" w:rsidRPr="000C2FF6" w:rsidRDefault="00603DE8" w:rsidP="006A1D35">
      <w:pPr>
        <w:jc w:val="both"/>
        <w:rPr>
          <w:rFonts w:asciiTheme="majorHAnsi" w:hAnsiTheme="majorHAnsi"/>
          <w:b/>
          <w:i/>
          <w:sz w:val="25"/>
          <w:szCs w:val="25"/>
          <w:lang w:val="pt-BR" w:eastAsia="pt-BR"/>
        </w:rPr>
      </w:pPr>
      <w:r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 xml:space="preserve">Ata da audiência pública referente ao Projeto de Lei nº </w:t>
      </w:r>
      <w:r w:rsidR="007E112A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23</w:t>
      </w:r>
      <w:r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/20</w:t>
      </w:r>
      <w:r w:rsidR="00210F44"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2</w:t>
      </w:r>
      <w:r w:rsidR="007E112A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5</w:t>
      </w:r>
      <w:r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, que</w:t>
      </w:r>
      <w:r w:rsidR="00210F44"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 xml:space="preserve"> </w:t>
      </w:r>
      <w:r w:rsidR="00AA7A11"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d</w:t>
      </w:r>
      <w:r w:rsidR="00210F44" w:rsidRPr="000C2FF6">
        <w:rPr>
          <w:rFonts w:asciiTheme="majorHAnsi" w:hAnsiTheme="majorHAnsi"/>
          <w:b/>
          <w:i/>
          <w:sz w:val="25"/>
          <w:szCs w:val="25"/>
          <w:lang w:val="pt-BR" w:eastAsia="pt-BR"/>
        </w:rPr>
        <w:t>ispõe sobre as diretrizes para a elaboração e execução da Lei Orçamentária de 202</w:t>
      </w:r>
      <w:r w:rsidR="007E112A">
        <w:rPr>
          <w:rFonts w:asciiTheme="majorHAnsi" w:hAnsiTheme="majorHAnsi"/>
          <w:b/>
          <w:i/>
          <w:sz w:val="25"/>
          <w:szCs w:val="25"/>
          <w:lang w:val="pt-BR" w:eastAsia="pt-BR"/>
        </w:rPr>
        <w:t>6</w:t>
      </w:r>
      <w:r w:rsidR="00210F44" w:rsidRPr="000C2FF6">
        <w:rPr>
          <w:rFonts w:asciiTheme="majorHAnsi" w:hAnsiTheme="majorHAnsi"/>
          <w:b/>
          <w:i/>
          <w:sz w:val="25"/>
          <w:szCs w:val="25"/>
          <w:lang w:val="pt-BR" w:eastAsia="pt-BR"/>
        </w:rPr>
        <w:t xml:space="preserve"> e dá outras providências</w:t>
      </w:r>
      <w:r w:rsidR="007556F2" w:rsidRPr="000C2FF6">
        <w:rPr>
          <w:rFonts w:asciiTheme="majorHAnsi" w:hAnsiTheme="majorHAnsi"/>
          <w:b/>
          <w:i/>
          <w:sz w:val="25"/>
          <w:szCs w:val="25"/>
          <w:lang w:val="pt-BR" w:eastAsia="pt-BR"/>
        </w:rPr>
        <w:t xml:space="preserve">, </w:t>
      </w:r>
      <w:r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 xml:space="preserve">realizada em </w:t>
      </w:r>
      <w:r w:rsidR="007E112A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26</w:t>
      </w:r>
      <w:r w:rsidR="00946B24"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 xml:space="preserve"> de maio de 202</w:t>
      </w:r>
      <w:r w:rsidR="007E112A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5</w:t>
      </w:r>
      <w:r w:rsidRPr="000C2FF6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.</w:t>
      </w:r>
    </w:p>
    <w:p w14:paraId="4045BF05" w14:textId="218B0C2B" w:rsidR="007556F2" w:rsidRPr="000C2FF6" w:rsidRDefault="00263D7B" w:rsidP="00C246A2">
      <w:pPr>
        <w:jc w:val="both"/>
        <w:rPr>
          <w:rFonts w:asciiTheme="majorHAnsi" w:hAnsiTheme="majorHAnsi"/>
          <w:i/>
          <w:sz w:val="25"/>
          <w:szCs w:val="25"/>
          <w:lang w:val="pt-BR"/>
        </w:rPr>
      </w:pPr>
      <w:r w:rsidRPr="000C2FF6">
        <w:rPr>
          <w:rFonts w:asciiTheme="majorHAnsi" w:hAnsiTheme="majorHAnsi"/>
          <w:i/>
          <w:sz w:val="25"/>
          <w:szCs w:val="25"/>
          <w:lang w:val="pt-BR"/>
        </w:rPr>
        <w:t xml:space="preserve">Aos </w:t>
      </w:r>
      <w:r w:rsidR="007E112A">
        <w:rPr>
          <w:rFonts w:asciiTheme="majorHAnsi" w:hAnsiTheme="majorHAnsi"/>
          <w:i/>
          <w:sz w:val="25"/>
          <w:szCs w:val="25"/>
          <w:lang w:val="pt-BR"/>
        </w:rPr>
        <w:t xml:space="preserve">vinte e seis </w:t>
      </w:r>
      <w:r w:rsidRPr="000C2FF6">
        <w:rPr>
          <w:rFonts w:asciiTheme="majorHAnsi" w:hAnsiTheme="majorHAnsi"/>
          <w:i/>
          <w:sz w:val="25"/>
          <w:szCs w:val="25"/>
          <w:lang w:val="pt-BR"/>
        </w:rPr>
        <w:t xml:space="preserve">dias do mês de </w:t>
      </w:r>
      <w:r w:rsidR="00946B24" w:rsidRPr="000C2FF6">
        <w:rPr>
          <w:rFonts w:asciiTheme="majorHAnsi" w:hAnsiTheme="majorHAnsi"/>
          <w:i/>
          <w:sz w:val="25"/>
          <w:szCs w:val="25"/>
          <w:lang w:val="pt-BR"/>
        </w:rPr>
        <w:t xml:space="preserve">maio </w:t>
      </w:r>
      <w:r w:rsidR="007E112A">
        <w:rPr>
          <w:rFonts w:asciiTheme="majorHAnsi" w:hAnsiTheme="majorHAnsi"/>
          <w:i/>
          <w:sz w:val="25"/>
          <w:szCs w:val="25"/>
          <w:lang w:val="pt-BR"/>
        </w:rPr>
        <w:t xml:space="preserve">do ano </w:t>
      </w:r>
      <w:r w:rsidR="00685EE7" w:rsidRPr="000C2FF6">
        <w:rPr>
          <w:rFonts w:asciiTheme="majorHAnsi" w:hAnsiTheme="majorHAnsi"/>
          <w:i/>
          <w:sz w:val="25"/>
          <w:szCs w:val="25"/>
          <w:lang w:val="pt-BR"/>
        </w:rPr>
        <w:t xml:space="preserve">de dois mil e </w:t>
      </w:r>
      <w:r w:rsidR="00210F44" w:rsidRPr="000C2FF6">
        <w:rPr>
          <w:rFonts w:asciiTheme="majorHAnsi" w:hAnsiTheme="majorHAnsi"/>
          <w:i/>
          <w:sz w:val="25"/>
          <w:szCs w:val="25"/>
          <w:lang w:val="pt-BR"/>
        </w:rPr>
        <w:t>vinte</w:t>
      </w:r>
      <w:r w:rsidR="00946B24" w:rsidRPr="000C2FF6">
        <w:rPr>
          <w:rFonts w:asciiTheme="majorHAnsi" w:hAnsiTheme="majorHAnsi"/>
          <w:i/>
          <w:sz w:val="25"/>
          <w:szCs w:val="25"/>
          <w:lang w:val="pt-BR"/>
        </w:rPr>
        <w:t xml:space="preserve"> e </w:t>
      </w:r>
      <w:r w:rsidR="007E112A">
        <w:rPr>
          <w:rFonts w:asciiTheme="majorHAnsi" w:hAnsiTheme="majorHAnsi"/>
          <w:i/>
          <w:sz w:val="25"/>
          <w:szCs w:val="25"/>
          <w:lang w:val="pt-BR"/>
        </w:rPr>
        <w:t>cinco</w:t>
      </w:r>
      <w:r w:rsidR="009C6F70" w:rsidRPr="000C2FF6">
        <w:rPr>
          <w:rFonts w:asciiTheme="majorHAnsi" w:hAnsiTheme="majorHAnsi"/>
          <w:i/>
          <w:sz w:val="25"/>
          <w:szCs w:val="25"/>
          <w:lang w:val="pt-BR"/>
        </w:rPr>
        <w:t xml:space="preserve">, </w:t>
      </w:r>
      <w:r w:rsidR="00946B24" w:rsidRPr="000C2FF6">
        <w:rPr>
          <w:rFonts w:asciiTheme="majorHAnsi" w:hAnsiTheme="majorHAnsi"/>
          <w:i/>
          <w:sz w:val="25"/>
          <w:szCs w:val="25"/>
          <w:lang w:val="pt-BR"/>
        </w:rPr>
        <w:t xml:space="preserve">a partir das 19 horas, </w:t>
      </w:r>
      <w:r w:rsidR="00603DE8" w:rsidRPr="000C2FF6">
        <w:rPr>
          <w:rFonts w:asciiTheme="majorHAnsi" w:hAnsiTheme="majorHAnsi"/>
          <w:i/>
          <w:sz w:val="25"/>
          <w:szCs w:val="25"/>
          <w:lang w:val="pt-BR"/>
        </w:rPr>
        <w:t xml:space="preserve">foi realizada audiência pública sobre o </w:t>
      </w:r>
      <w:r w:rsidR="007556F2" w:rsidRPr="000C2FF6">
        <w:rPr>
          <w:rFonts w:asciiTheme="majorHAnsi" w:hAnsiTheme="majorHAnsi"/>
          <w:i/>
          <w:sz w:val="25"/>
          <w:szCs w:val="25"/>
          <w:lang w:val="pt-BR"/>
        </w:rPr>
        <w:t xml:space="preserve">Projeto de Lei nº </w:t>
      </w:r>
      <w:r w:rsidR="007E112A">
        <w:rPr>
          <w:rFonts w:asciiTheme="majorHAnsi" w:hAnsiTheme="majorHAnsi"/>
          <w:i/>
          <w:sz w:val="25"/>
          <w:szCs w:val="25"/>
          <w:lang w:val="pt-BR"/>
        </w:rPr>
        <w:t>23</w:t>
      </w:r>
      <w:r w:rsidR="00F704E8">
        <w:rPr>
          <w:rFonts w:asciiTheme="majorHAnsi" w:hAnsiTheme="majorHAnsi"/>
          <w:i/>
          <w:sz w:val="25"/>
          <w:szCs w:val="25"/>
          <w:lang w:val="pt-BR"/>
        </w:rPr>
        <w:t>/202</w:t>
      </w:r>
      <w:r w:rsidR="007E112A">
        <w:rPr>
          <w:rFonts w:asciiTheme="majorHAnsi" w:hAnsiTheme="majorHAnsi"/>
          <w:i/>
          <w:sz w:val="25"/>
          <w:szCs w:val="25"/>
          <w:lang w:val="pt-BR"/>
        </w:rPr>
        <w:t>5</w:t>
      </w:r>
      <w:r w:rsidR="007556F2" w:rsidRPr="000C2FF6">
        <w:rPr>
          <w:rFonts w:asciiTheme="majorHAnsi" w:hAnsiTheme="majorHAnsi"/>
          <w:i/>
          <w:sz w:val="25"/>
          <w:szCs w:val="25"/>
          <w:lang w:val="pt-BR"/>
        </w:rPr>
        <w:t xml:space="preserve">, </w:t>
      </w:r>
      <w:r w:rsidR="00210F44" w:rsidRPr="000C2FF6">
        <w:rPr>
          <w:rFonts w:asciiTheme="majorHAnsi" w:hAnsiTheme="majorHAnsi"/>
          <w:i/>
          <w:sz w:val="25"/>
          <w:szCs w:val="25"/>
          <w:lang w:val="pt-BR"/>
        </w:rPr>
        <w:t>que d</w:t>
      </w:r>
      <w:r w:rsidR="00210F44" w:rsidRPr="000C2FF6">
        <w:rPr>
          <w:rFonts w:asciiTheme="majorHAnsi" w:hAnsiTheme="majorHAnsi"/>
          <w:i/>
          <w:sz w:val="25"/>
          <w:szCs w:val="25"/>
          <w:lang w:val="pt-BR" w:eastAsia="pt-BR"/>
        </w:rPr>
        <w:t>ispõe</w:t>
      </w:r>
      <w:r w:rsidR="00946B24" w:rsidRPr="000C2FF6">
        <w:rPr>
          <w:rFonts w:asciiTheme="majorHAnsi" w:hAnsiTheme="majorHAnsi"/>
          <w:i/>
          <w:sz w:val="25"/>
          <w:szCs w:val="25"/>
          <w:lang w:val="pt-BR" w:eastAsia="pt-BR"/>
        </w:rPr>
        <w:t xml:space="preserve"> sobre </w:t>
      </w:r>
      <w:r w:rsidR="00210F44" w:rsidRPr="000C2FF6">
        <w:rPr>
          <w:rFonts w:asciiTheme="majorHAnsi" w:hAnsiTheme="majorHAnsi"/>
          <w:i/>
          <w:sz w:val="25"/>
          <w:szCs w:val="25"/>
          <w:lang w:val="pt-BR" w:eastAsia="pt-BR"/>
        </w:rPr>
        <w:t>as diretrizes para a elaboração e execução da Lei Orçamentária de 202</w:t>
      </w:r>
      <w:r w:rsidR="007E112A">
        <w:rPr>
          <w:rFonts w:asciiTheme="majorHAnsi" w:hAnsiTheme="majorHAnsi"/>
          <w:i/>
          <w:sz w:val="25"/>
          <w:szCs w:val="25"/>
          <w:lang w:val="pt-BR" w:eastAsia="pt-BR"/>
        </w:rPr>
        <w:t>6</w:t>
      </w:r>
      <w:r w:rsidR="00210F44" w:rsidRPr="000C2FF6">
        <w:rPr>
          <w:rFonts w:asciiTheme="majorHAnsi" w:hAnsiTheme="majorHAnsi"/>
          <w:i/>
          <w:sz w:val="25"/>
          <w:szCs w:val="25"/>
          <w:lang w:val="pt-BR" w:eastAsia="pt-BR"/>
        </w:rPr>
        <w:t xml:space="preserve"> e dá outras providências.</w:t>
      </w:r>
      <w:r w:rsidR="00603DE8" w:rsidRPr="000C2FF6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r w:rsidR="007556F2" w:rsidRPr="000C2FF6">
        <w:rPr>
          <w:rFonts w:asciiTheme="majorHAnsi" w:hAnsiTheme="majorHAnsi"/>
          <w:i/>
          <w:sz w:val="25"/>
          <w:szCs w:val="25"/>
          <w:lang w:val="pt-BR"/>
        </w:rPr>
        <w:t xml:space="preserve">O </w:t>
      </w:r>
      <w:r w:rsidR="00603DE8" w:rsidRPr="000C2FF6">
        <w:rPr>
          <w:rFonts w:asciiTheme="majorHAnsi" w:hAnsiTheme="majorHAnsi"/>
          <w:i/>
          <w:sz w:val="25"/>
          <w:szCs w:val="25"/>
          <w:lang w:val="pt-BR"/>
        </w:rPr>
        <w:t xml:space="preserve">convite </w:t>
      </w:r>
      <w:r w:rsidR="007556F2" w:rsidRPr="000C2FF6">
        <w:rPr>
          <w:rFonts w:asciiTheme="majorHAnsi" w:hAnsiTheme="majorHAnsi"/>
          <w:i/>
          <w:sz w:val="25"/>
          <w:szCs w:val="25"/>
          <w:lang w:val="pt-BR"/>
        </w:rPr>
        <w:t>para esta audiência fo</w:t>
      </w:r>
      <w:r w:rsidR="008B52A8">
        <w:rPr>
          <w:rFonts w:asciiTheme="majorHAnsi" w:hAnsiTheme="majorHAnsi"/>
          <w:i/>
          <w:sz w:val="25"/>
          <w:szCs w:val="25"/>
          <w:lang w:val="pt-BR"/>
        </w:rPr>
        <w:t>i</w:t>
      </w:r>
      <w:r w:rsidR="007556F2" w:rsidRPr="000C2FF6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r w:rsidR="00603DE8" w:rsidRPr="000C2FF6">
        <w:rPr>
          <w:rFonts w:asciiTheme="majorHAnsi" w:hAnsiTheme="majorHAnsi"/>
          <w:i/>
          <w:sz w:val="25"/>
          <w:szCs w:val="25"/>
          <w:lang w:val="pt-BR"/>
        </w:rPr>
        <w:t xml:space="preserve">publicado </w:t>
      </w:r>
      <w:r w:rsidR="00210F44" w:rsidRPr="000C2FF6">
        <w:rPr>
          <w:rFonts w:asciiTheme="majorHAnsi" w:hAnsiTheme="majorHAnsi"/>
          <w:i/>
          <w:sz w:val="25"/>
          <w:szCs w:val="25"/>
          <w:lang w:val="pt-BR" w:eastAsia="pt-BR"/>
        </w:rPr>
        <w:t>n</w:t>
      </w:r>
      <w:r w:rsidR="007E112A">
        <w:rPr>
          <w:rFonts w:asciiTheme="majorHAnsi" w:hAnsiTheme="majorHAnsi"/>
          <w:i/>
          <w:sz w:val="25"/>
          <w:szCs w:val="25"/>
          <w:lang w:val="pt-BR" w:eastAsia="pt-BR"/>
        </w:rPr>
        <w:t xml:space="preserve">o </w:t>
      </w:r>
      <w:r w:rsidR="00210F44" w:rsidRPr="000C2FF6">
        <w:rPr>
          <w:rFonts w:asciiTheme="majorHAnsi" w:hAnsiTheme="majorHAnsi"/>
          <w:i/>
          <w:sz w:val="25"/>
          <w:szCs w:val="25"/>
          <w:lang w:val="pt-BR" w:eastAsia="pt-BR"/>
        </w:rPr>
        <w:t>Jornal Oficial do Município</w:t>
      </w:r>
      <w:r w:rsidR="008B52A8">
        <w:rPr>
          <w:rFonts w:asciiTheme="majorHAnsi" w:hAnsiTheme="majorHAnsi"/>
          <w:i/>
          <w:sz w:val="25"/>
          <w:szCs w:val="25"/>
          <w:lang w:val="pt-BR" w:eastAsia="pt-BR"/>
        </w:rPr>
        <w:t xml:space="preserve"> </w:t>
      </w:r>
      <w:r w:rsidR="007E112A">
        <w:rPr>
          <w:rFonts w:asciiTheme="majorHAnsi" w:hAnsiTheme="majorHAnsi"/>
          <w:i/>
          <w:sz w:val="25"/>
          <w:szCs w:val="25"/>
          <w:lang w:val="pt-BR" w:eastAsia="pt-BR"/>
        </w:rPr>
        <w:t xml:space="preserve">e no Diário Oficial do Legislativo de Cordeirópolis nos dias 16, 21 e 23 de maio </w:t>
      </w:r>
      <w:r w:rsidR="008B52A8">
        <w:rPr>
          <w:rFonts w:asciiTheme="majorHAnsi" w:hAnsiTheme="majorHAnsi"/>
          <w:i/>
          <w:sz w:val="25"/>
          <w:szCs w:val="25"/>
          <w:lang w:val="pt-BR" w:eastAsia="pt-BR"/>
        </w:rPr>
        <w:t xml:space="preserve">e </w:t>
      </w:r>
      <w:r w:rsidR="007E112A">
        <w:rPr>
          <w:rFonts w:asciiTheme="majorHAnsi" w:hAnsiTheme="majorHAnsi"/>
          <w:i/>
          <w:sz w:val="25"/>
          <w:szCs w:val="25"/>
          <w:lang w:val="pt-BR" w:eastAsia="pt-BR"/>
        </w:rPr>
        <w:t xml:space="preserve">ela </w:t>
      </w:r>
      <w:r w:rsidR="00F704E8">
        <w:rPr>
          <w:rFonts w:asciiTheme="majorHAnsi" w:hAnsiTheme="majorHAnsi"/>
          <w:i/>
          <w:sz w:val="25"/>
          <w:szCs w:val="25"/>
          <w:lang w:val="pt-BR" w:eastAsia="pt-BR"/>
        </w:rPr>
        <w:t>foi prestigiada pelas</w:t>
      </w:r>
      <w:r w:rsidR="00603DE8" w:rsidRPr="000C2FF6">
        <w:rPr>
          <w:rFonts w:asciiTheme="majorHAnsi" w:hAnsiTheme="majorHAnsi"/>
          <w:i/>
          <w:sz w:val="25"/>
          <w:szCs w:val="25"/>
          <w:lang w:val="pt-BR"/>
        </w:rPr>
        <w:t xml:space="preserve"> pessoas indicadas na lista de presença. Abrindo a audiência, </w:t>
      </w:r>
      <w:r w:rsidR="00210F44" w:rsidRPr="000C2FF6">
        <w:rPr>
          <w:rFonts w:asciiTheme="majorHAnsi" w:hAnsiTheme="majorHAnsi"/>
          <w:i/>
          <w:sz w:val="25"/>
          <w:szCs w:val="25"/>
          <w:lang w:val="pt-BR"/>
        </w:rPr>
        <w:t xml:space="preserve">o representante da Prefeitura, Renato Mascarin, </w:t>
      </w:r>
      <w:r w:rsidR="007E112A">
        <w:rPr>
          <w:rFonts w:asciiTheme="majorHAnsi" w:hAnsiTheme="majorHAnsi"/>
          <w:i/>
          <w:sz w:val="25"/>
          <w:szCs w:val="25"/>
          <w:lang w:val="pt-BR"/>
        </w:rPr>
        <w:t xml:space="preserve">agradeceu o convite feito pela Câmara, dizendo que este ano é atípico, porque a LDO tem que enquadrar no PPA, e de acordo com a Lei Orgânica, o prazo é dia 31 de agosto, enquadrando na LOA em setembro. Falou que ainda não foram definidos programas e ações para o período 2026-2029. Mostrou slide com o “Relatório Focus” do Banco Central, com os índices econômicos do País, utilizados que para se fazer um projeção do orçamento até 2029; que no ano que vem está previsto 4,5% do IPCA e 1,5% de crescimento do PIB, totalizando 6% a mais na execução deste ano para o ano que vem; com relação às Receitas, a RCL está em torno de R$ 239 milhões, sendo R$ 55,6 milhões de Impostos e Taxas, Receita Patrimonial R$ 714 mil, Receita de Serviços R$ 12,6 milhões (SAAE), Transferências Correntes (ICMS, IPVA, FPM) R$ 233,5 milhões, Outras Receitas Correntes R$ 3,5 milhões, </w:t>
      </w:r>
      <w:r w:rsidR="006C5306">
        <w:rPr>
          <w:rFonts w:asciiTheme="majorHAnsi" w:hAnsiTheme="majorHAnsi"/>
          <w:i/>
          <w:sz w:val="25"/>
          <w:szCs w:val="25"/>
          <w:lang w:val="pt-BR"/>
        </w:rPr>
        <w:t xml:space="preserve">Dedução do Fundeb menos R$ 37 milhões, Receitas de Capital R$ 21,200 milhões, sendo R$ 20 milhões de Operações de Crédito, referente ao início do Anel Viário, Alienação de Bens, R$ 200 mil e Transferências de Capital, R$ 1 milhão, totalizando R$ 290,15 milhões, dando uma das maiores rendas per capita da região. Quanto às Receitas, o IPTU aumentou 8%, para R$ 10,4 milhões devido ao georreferenciamento; o ISSQN aumentou 8%, para R$ 26,25 milhões, devido às obras da concessionária Eixo na região; o IRRF descontado dos funcionários e fornecedores subiu 8% para R$ 12,8 milhões; FPM, com aumento de 6% (IPCA + PIB), chegando a R$ 45,9 milhões; Recursos do SUS provenientes do credenciamento da UPA, aumento de 6%, R$ 11,25 milhões, </w:t>
      </w:r>
      <w:r w:rsidR="007E112A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r w:rsidR="006C5306">
        <w:rPr>
          <w:rFonts w:asciiTheme="majorHAnsi" w:hAnsiTheme="majorHAnsi"/>
          <w:i/>
          <w:sz w:val="25"/>
          <w:szCs w:val="25"/>
          <w:lang w:val="pt-BR"/>
        </w:rPr>
        <w:t>ICMS, aumento de 0,9% devido a diminuição do coeficiente (redução de 5%), R$ 121,25 milhões e IPVA, com aumento de 8%, R$ 12,54 milhões. Quanto às despesas, as Despesas Correntes somam R$ 264,3 milhões, sendo R$ 120 milhões em pessoal e encargos, R$ 8,9 milhões em Juros e Encargos</w:t>
      </w:r>
      <w:r w:rsidR="0023735D">
        <w:rPr>
          <w:rFonts w:asciiTheme="majorHAnsi" w:hAnsiTheme="majorHAnsi"/>
          <w:i/>
          <w:sz w:val="25"/>
          <w:szCs w:val="25"/>
          <w:lang w:val="pt-BR"/>
        </w:rPr>
        <w:t xml:space="preserve"> (pagamentos dos financiamentos da gestão anterior)</w:t>
      </w:r>
      <w:r w:rsidR="006C5306">
        <w:rPr>
          <w:rFonts w:asciiTheme="majorHAnsi" w:hAnsiTheme="majorHAnsi"/>
          <w:i/>
          <w:sz w:val="25"/>
          <w:szCs w:val="25"/>
          <w:lang w:val="pt-BR"/>
        </w:rPr>
        <w:t xml:space="preserve"> e R$ 135</w:t>
      </w:r>
      <w:r w:rsidR="0023735D">
        <w:rPr>
          <w:rFonts w:asciiTheme="majorHAnsi" w:hAnsiTheme="majorHAnsi"/>
          <w:i/>
          <w:sz w:val="25"/>
          <w:szCs w:val="25"/>
          <w:lang w:val="pt-BR"/>
        </w:rPr>
        <w:t>,</w:t>
      </w:r>
      <w:r w:rsidR="006C5306">
        <w:rPr>
          <w:rFonts w:asciiTheme="majorHAnsi" w:hAnsiTheme="majorHAnsi"/>
          <w:i/>
          <w:sz w:val="25"/>
          <w:szCs w:val="25"/>
          <w:lang w:val="pt-BR"/>
        </w:rPr>
        <w:t>4 milhões em outras despesas correntes</w:t>
      </w:r>
      <w:r w:rsidR="0023735D">
        <w:rPr>
          <w:rFonts w:asciiTheme="majorHAnsi" w:hAnsiTheme="majorHAnsi"/>
          <w:i/>
          <w:sz w:val="25"/>
          <w:szCs w:val="25"/>
          <w:lang w:val="pt-BR"/>
        </w:rPr>
        <w:t xml:space="preserve"> (consórcios, terceiro setor e a maioria dos contratos)</w:t>
      </w:r>
      <w:r w:rsidR="006C5306">
        <w:rPr>
          <w:rFonts w:asciiTheme="majorHAnsi" w:hAnsiTheme="majorHAnsi"/>
          <w:i/>
          <w:sz w:val="25"/>
          <w:szCs w:val="25"/>
          <w:lang w:val="pt-BR"/>
        </w:rPr>
        <w:t>. As despesas de capital somam R$ 24,86 milhões, sendo R$ 16,7 milhões em investimentos e R$ 8,2 milhões em Amortização da Dívida</w:t>
      </w:r>
      <w:r w:rsidR="0023735D">
        <w:rPr>
          <w:rFonts w:asciiTheme="majorHAnsi" w:hAnsiTheme="majorHAnsi"/>
          <w:i/>
          <w:sz w:val="25"/>
          <w:szCs w:val="25"/>
          <w:lang w:val="pt-BR"/>
        </w:rPr>
        <w:t xml:space="preserve"> (financiamentos e parcelamentos)</w:t>
      </w:r>
      <w:r w:rsidR="006C5306">
        <w:rPr>
          <w:rFonts w:asciiTheme="majorHAnsi" w:hAnsiTheme="majorHAnsi"/>
          <w:i/>
          <w:sz w:val="25"/>
          <w:szCs w:val="25"/>
          <w:lang w:val="pt-BR"/>
        </w:rPr>
        <w:t xml:space="preserve">, totalizando R$ 289,15 milhões. </w:t>
      </w:r>
      <w:r w:rsidR="0023735D">
        <w:rPr>
          <w:rFonts w:asciiTheme="majorHAnsi" w:hAnsiTheme="majorHAnsi"/>
          <w:i/>
          <w:sz w:val="25"/>
          <w:szCs w:val="25"/>
          <w:lang w:val="pt-BR"/>
        </w:rPr>
        <w:t>Quanto à Dívida Consolidada, mostrou que o valor dos financiamentos é de R$ 59,6 milhões, com projeção para este ano de R$ 68 milhões e R$ 86 milhões para 2026, sendo R$ 3,37 milhões de Parcelamento e Renegociação de Dívidas em 2024, com projeção de R$ 1,773 milhões em 2025, sendo R$ 2,953 milhões em Contribuições Previdenciárias em 2024, R$ 1,453 milhões em 2025, bem como R$ 411,435 em 2024 e R$ 320 mil com Instituição Não Financeira. A Disponibilidade de Caixa em 2024 ficou negativa em R$ 10,3 milhões, com Disponibilidade de Caixa Bruta de R$ 21,6 milhões, com R$ 24,1 milhões em Restos a Pagar Processados e R$ 7,92 milhões em Depósitos Restituíveis e Valores Vinculados, totalizando R$ 69,9 milhões. A projeção para este ano é de R$ 2,3 milhões, R$ 2,8 milhões, R$ 5,8 milhões, R$ 3 milhões e R$ 500 mil, além de Demais Haveres Financeiros em R$ 500 mil. Para o ano seguinte, os valores são R$ 3,65 milhões, R$ 4 milhões, R$ 6 milhões, R$ 2 milhões, R$ 700 mil e R$ 350 mil. Já a Dívida Consolidada Líquida passou de R$ 69,9 milhões em 2024, com projeção de R$ 65,7 milhões em 2025 e R$ 82,6 milhões em 2026</w:t>
      </w:r>
      <w:r w:rsidR="0032059B">
        <w:rPr>
          <w:rFonts w:asciiTheme="majorHAnsi" w:hAnsiTheme="majorHAnsi"/>
          <w:i/>
          <w:sz w:val="25"/>
          <w:szCs w:val="25"/>
          <w:lang w:val="pt-BR"/>
        </w:rPr>
        <w:t xml:space="preserve">, devido ao desembolso do financiamento do Anel Viário em R$ 20 milhões nos próximos três anos, com o final em 2028. Mostrou Análise Orçamentária em que a Receita foi de R$ 63 milhões entre janeiro e março, sendo liquidados R$ 53 milhões e pago R$ 42 milhões, sendo pagos R$ 10 milhões em dívidas. Mostrou Comparativo de Receita por Categoria de 2024 para 2025, com redução de 20,54% na Corrente e 98,84% na Capital, com redução de 27,68% na Receita Bruta, 22,68% no Fundeb, totalizando uma redução de 28,34% na Receita Líquida. Mostrou Comparativo da Despesa por Categoria, mostrando redução de 15,72% nos valores empenhados de 2024 para 2025 e de 28,49% nos valores liquidados no mesmo período, com aumento de 68,16% nos empenhos da Despesa </w:t>
      </w:r>
      <w:proofErr w:type="spellStart"/>
      <w:r w:rsidR="0032059B">
        <w:rPr>
          <w:rFonts w:asciiTheme="majorHAnsi" w:hAnsiTheme="majorHAnsi"/>
          <w:i/>
          <w:sz w:val="25"/>
          <w:szCs w:val="25"/>
          <w:lang w:val="pt-BR"/>
        </w:rPr>
        <w:t>Intra-Orçamentária</w:t>
      </w:r>
      <w:proofErr w:type="spellEnd"/>
      <w:r w:rsidR="0032059B">
        <w:rPr>
          <w:rFonts w:asciiTheme="majorHAnsi" w:hAnsiTheme="majorHAnsi"/>
          <w:i/>
          <w:sz w:val="25"/>
          <w:szCs w:val="25"/>
          <w:lang w:val="pt-BR"/>
        </w:rPr>
        <w:t xml:space="preserve"> Corrente e diminuição de 43,23% na liquidação. Nas Despesas de Capital, a redução do valor empenhado foi de 44,94% e de 75,20% no valor liquidado de 2024 para 2025, totalizando uma redução de 21,81% na despesa total empenhada e 36,39% na liquidada, devido à queda de arrecadação. </w:t>
      </w:r>
      <w:r w:rsidR="00C246A2">
        <w:rPr>
          <w:rFonts w:asciiTheme="majorHAnsi" w:hAnsiTheme="majorHAnsi"/>
          <w:i/>
          <w:sz w:val="25"/>
          <w:szCs w:val="25"/>
          <w:lang w:val="pt-BR"/>
        </w:rPr>
        <w:t xml:space="preserve">Na educação, foram pagas 26,15% da receita e 40,36% com o pessoal e 13,47% com a saúde, abaixo dos 15% no decorrer do exercício a receita diminui e a despesa aumenta, chegando acima do valor no final do ano. Falou que o prazo para envio dos dados da Prefeitura para o PPA é 15 de julho e a Câmara até 30 de julho, sugerindo uma reunião sobre o assunto. Disse que no ano que vem as ações e os programas já estarão definidas. Paulo Cesar perguntou se a contrapartida de R$ 20 milhões nos próximos anos para o Anel Viário será mantida, sendo respondido que é o financiamento da CEF, de R$ 100 milhões e começando a obra serão pedidos os valores de acordo com a execução, pois neste ano estamos quase em junho e talvez não será executado este valor e a amortização deve ser feita em três anos. Perguntou quanto será a queda da arrecadação neste ano, sendo respondido que será de R$ 10 milhões, em função do ICMS, sendo que neste primeiro quadrimestre foram perdidos R$ 3 milhões. Renato disse que é um ano difícil para todos, e precisamos nos esforçar para equilibrar as contas devido à queda de receita com equalização das despesas. Falou que os vereadores devem atentar para a LDO tem artigos sobre as emendas impositivas e muitas vezes o valor não é suficiente para executar e sugeriu colocar um artigo na lei em que pode ser recebida a emenda de volta por motivos orçamentários e que nova ação pode ser escolhida, o que pode permitir que ela seja executada durante este ano e que os valores serão discutidos durante a tramitação da Lei Orçamentária Anual (LOA). </w:t>
      </w:r>
      <w:r w:rsidR="00AA7A11" w:rsidRPr="000C2FF6">
        <w:rPr>
          <w:rFonts w:asciiTheme="majorHAnsi" w:hAnsiTheme="majorHAnsi"/>
          <w:i/>
          <w:sz w:val="25"/>
          <w:szCs w:val="25"/>
          <w:lang w:val="pt-BR"/>
        </w:rPr>
        <w:t xml:space="preserve">Nada mais havendo a tratar, </w:t>
      </w:r>
      <w:r w:rsidR="00125B30" w:rsidRPr="000C2FF6">
        <w:rPr>
          <w:rFonts w:asciiTheme="majorHAnsi" w:hAnsiTheme="majorHAnsi"/>
          <w:i/>
          <w:sz w:val="25"/>
          <w:szCs w:val="25"/>
          <w:lang w:val="pt-BR"/>
        </w:rPr>
        <w:t>encerrou-se a audiência, da qual foi feita esta ata por mim</w:t>
      </w:r>
      <w:r w:rsidR="0057345F" w:rsidRPr="000C2FF6">
        <w:rPr>
          <w:rFonts w:asciiTheme="majorHAnsi" w:hAnsiTheme="majorHAnsi"/>
          <w:i/>
          <w:sz w:val="25"/>
          <w:szCs w:val="25"/>
          <w:lang w:val="pt-BR"/>
        </w:rPr>
        <w:t>,</w:t>
      </w:r>
      <w:r w:rsidR="00EB151D" w:rsidRPr="000C2FF6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r w:rsidR="00125B30" w:rsidRPr="000C2FF6">
        <w:rPr>
          <w:rFonts w:asciiTheme="majorHAnsi" w:hAnsiTheme="majorHAnsi"/>
          <w:i/>
          <w:sz w:val="25"/>
          <w:szCs w:val="25"/>
          <w:lang w:val="pt-BR"/>
        </w:rPr>
        <w:t xml:space="preserve">Paulo César Tamiazo, Analista Legislativo.  </w:t>
      </w:r>
      <w:r w:rsidR="00A63541" w:rsidRPr="000C2FF6">
        <w:rPr>
          <w:rFonts w:asciiTheme="majorHAnsi" w:hAnsiTheme="majorHAnsi"/>
          <w:i/>
          <w:sz w:val="25"/>
          <w:szCs w:val="25"/>
          <w:lang w:val="pt-BR"/>
        </w:rPr>
        <w:t xml:space="preserve">  </w:t>
      </w:r>
      <w:r w:rsidR="004477FD" w:rsidRPr="000C2FF6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</w:p>
    <w:p w14:paraId="4EBDEC65" w14:textId="77777777" w:rsidR="002E1AD0" w:rsidRPr="000C2FF6" w:rsidRDefault="002E1AD0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  <w:sectPr w:rsidR="002E1AD0" w:rsidRPr="000C2FF6" w:rsidSect="006A1D35">
          <w:headerReference w:type="default" r:id="rId7"/>
          <w:footerReference w:type="default" r:id="rId8"/>
          <w:pgSz w:w="11906" w:h="16838"/>
          <w:pgMar w:top="1758" w:right="851" w:bottom="1021" w:left="1021" w:header="708" w:footer="708" w:gutter="0"/>
          <w:cols w:space="708"/>
          <w:docGrid w:linePitch="360"/>
        </w:sectPr>
      </w:pPr>
    </w:p>
    <w:p w14:paraId="0A3F1C79" w14:textId="77777777" w:rsidR="007E112A" w:rsidRPr="007E112A" w:rsidRDefault="007E112A" w:rsidP="007E112A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7E112A">
        <w:rPr>
          <w:rFonts w:asciiTheme="majorHAnsi" w:hAnsiTheme="majorHAnsi"/>
          <w:b/>
          <w:i/>
          <w:sz w:val="25"/>
          <w:szCs w:val="25"/>
          <w:lang w:val="pt-BR"/>
        </w:rPr>
        <w:t>Paulo Cesar Morais de Oliveira</w:t>
      </w:r>
    </w:p>
    <w:p w14:paraId="0C342AE1" w14:textId="77777777" w:rsidR="00F704E8" w:rsidRDefault="00F704E8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>
        <w:rPr>
          <w:rFonts w:asciiTheme="majorHAnsi" w:hAnsiTheme="majorHAnsi"/>
          <w:b/>
          <w:i/>
          <w:sz w:val="25"/>
          <w:szCs w:val="25"/>
          <w:lang w:val="pt-BR"/>
        </w:rPr>
        <w:t>Presidente</w:t>
      </w:r>
    </w:p>
    <w:p w14:paraId="609CF169" w14:textId="77777777" w:rsidR="00F75244" w:rsidRDefault="00F75244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7FE621C8" w14:textId="1C94D1A0" w:rsidR="00F704E8" w:rsidRDefault="007E112A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>
        <w:rPr>
          <w:rFonts w:asciiTheme="majorHAnsi" w:hAnsiTheme="majorHAnsi"/>
          <w:b/>
          <w:i/>
          <w:sz w:val="25"/>
          <w:szCs w:val="25"/>
          <w:lang w:val="pt-BR"/>
        </w:rPr>
        <w:t>Deize Cristina Bettin Carron</w:t>
      </w:r>
    </w:p>
    <w:p w14:paraId="3AAAF14A" w14:textId="77777777" w:rsidR="00F704E8" w:rsidRDefault="00F704E8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>
        <w:rPr>
          <w:rFonts w:asciiTheme="majorHAnsi" w:hAnsiTheme="majorHAnsi"/>
          <w:b/>
          <w:i/>
          <w:sz w:val="25"/>
          <w:szCs w:val="25"/>
          <w:lang w:val="pt-BR"/>
        </w:rPr>
        <w:t xml:space="preserve">Vereadora </w:t>
      </w:r>
    </w:p>
    <w:p w14:paraId="0A97DA35" w14:textId="6E5E91A7" w:rsidR="0057407C" w:rsidRPr="000C2FF6" w:rsidRDefault="007E112A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>
        <w:rPr>
          <w:rFonts w:asciiTheme="majorHAnsi" w:hAnsiTheme="majorHAnsi"/>
          <w:b/>
          <w:i/>
          <w:sz w:val="25"/>
          <w:szCs w:val="25"/>
          <w:lang w:val="pt-BR"/>
        </w:rPr>
        <w:t>Sidnei Gâmbaro</w:t>
      </w:r>
    </w:p>
    <w:p w14:paraId="7E9ADF1E" w14:textId="77777777" w:rsidR="0057407C" w:rsidRPr="000C2FF6" w:rsidRDefault="0057407C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0C2FF6">
        <w:rPr>
          <w:rFonts w:asciiTheme="majorHAnsi" w:hAnsiTheme="majorHAnsi"/>
          <w:b/>
          <w:i/>
          <w:sz w:val="25"/>
          <w:szCs w:val="25"/>
          <w:lang w:val="pt-BR"/>
        </w:rPr>
        <w:t>Vereador</w:t>
      </w:r>
    </w:p>
    <w:p w14:paraId="1EAB0DF0" w14:textId="77777777" w:rsidR="006F45D2" w:rsidRDefault="006F45D2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20B6F1E7" w14:textId="29618EAB" w:rsidR="00F704E8" w:rsidRPr="008B52A8" w:rsidRDefault="007E112A" w:rsidP="006A1D35">
      <w:pPr>
        <w:spacing w:after="0" w:line="240" w:lineRule="auto"/>
        <w:jc w:val="center"/>
        <w:rPr>
          <w:rFonts w:asciiTheme="majorHAnsi" w:hAnsiTheme="majorHAnsi"/>
          <w:b/>
          <w:i/>
          <w:caps/>
          <w:sz w:val="25"/>
          <w:szCs w:val="25"/>
          <w:lang w:val="pt-BR"/>
        </w:rPr>
      </w:pPr>
      <w:r>
        <w:rPr>
          <w:rFonts w:asciiTheme="majorHAnsi" w:hAnsiTheme="majorHAnsi"/>
          <w:b/>
          <w:i/>
          <w:sz w:val="25"/>
          <w:szCs w:val="25"/>
          <w:lang w:val="pt-BR"/>
        </w:rPr>
        <w:t xml:space="preserve">Vilson Natal Caleffi </w:t>
      </w:r>
    </w:p>
    <w:p w14:paraId="256ADC73" w14:textId="77777777" w:rsidR="0057407C" w:rsidRPr="000C2FF6" w:rsidRDefault="0057407C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0C2FF6">
        <w:rPr>
          <w:rFonts w:asciiTheme="majorHAnsi" w:hAnsiTheme="majorHAnsi"/>
          <w:b/>
          <w:i/>
          <w:sz w:val="25"/>
          <w:szCs w:val="25"/>
          <w:lang w:val="pt-BR"/>
        </w:rPr>
        <w:t>Vereador</w:t>
      </w:r>
    </w:p>
    <w:sectPr w:rsidR="0057407C" w:rsidRPr="000C2FF6" w:rsidSect="00F75244">
      <w:type w:val="continuous"/>
      <w:pgSz w:w="11906" w:h="16838"/>
      <w:pgMar w:top="1758" w:right="851" w:bottom="1021" w:left="102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1E6E" w14:textId="77777777" w:rsidR="004B1B68" w:rsidRDefault="004B1B68" w:rsidP="00C44562">
      <w:pPr>
        <w:spacing w:after="0" w:line="240" w:lineRule="auto"/>
      </w:pPr>
      <w:r>
        <w:separator/>
      </w:r>
    </w:p>
  </w:endnote>
  <w:endnote w:type="continuationSeparator" w:id="0">
    <w:p w14:paraId="1B1E522E" w14:textId="77777777" w:rsidR="004B1B68" w:rsidRDefault="004B1B68" w:rsidP="00C4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8E28" w14:textId="1F2B99A9" w:rsidR="006F45D2" w:rsidRDefault="006F45D2">
    <w:pPr>
      <w:pStyle w:val="Rodap"/>
    </w:pPr>
    <w:r>
      <w:rPr>
        <w:noProof/>
      </w:rPr>
      <w:drawing>
        <wp:inline distT="0" distB="0" distL="0" distR="0" wp14:anchorId="66B2B199" wp14:editId="7054262D">
          <wp:extent cx="5401310" cy="182880"/>
          <wp:effectExtent l="0" t="0" r="8890" b="7620"/>
          <wp:docPr id="19754800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8004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4533" w14:textId="77777777" w:rsidR="004B1B68" w:rsidRDefault="004B1B68" w:rsidP="00C44562">
      <w:pPr>
        <w:spacing w:after="0" w:line="240" w:lineRule="auto"/>
      </w:pPr>
      <w:r>
        <w:separator/>
      </w:r>
    </w:p>
  </w:footnote>
  <w:footnote w:type="continuationSeparator" w:id="0">
    <w:p w14:paraId="41EDAA06" w14:textId="77777777" w:rsidR="004B1B68" w:rsidRDefault="004B1B68" w:rsidP="00C4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7E3A" w14:textId="63A72BA5" w:rsidR="006F45D2" w:rsidRDefault="006F45D2">
    <w:pPr>
      <w:pStyle w:val="Cabealho"/>
    </w:pPr>
    <w:r>
      <w:rPr>
        <w:noProof/>
      </w:rPr>
      <w:drawing>
        <wp:inline distT="0" distB="0" distL="0" distR="0" wp14:anchorId="1F42484A" wp14:editId="4CDBEF36">
          <wp:extent cx="6298565" cy="904875"/>
          <wp:effectExtent l="0" t="0" r="6985" b="9525"/>
          <wp:docPr id="11061973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19733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856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E8"/>
    <w:rsid w:val="00022C70"/>
    <w:rsid w:val="00035BDA"/>
    <w:rsid w:val="00056309"/>
    <w:rsid w:val="000877C0"/>
    <w:rsid w:val="000C2FF6"/>
    <w:rsid w:val="000D4C68"/>
    <w:rsid w:val="000F5CF4"/>
    <w:rsid w:val="000F6087"/>
    <w:rsid w:val="00101B4A"/>
    <w:rsid w:val="001228D0"/>
    <w:rsid w:val="00125B30"/>
    <w:rsid w:val="00133951"/>
    <w:rsid w:val="001477D0"/>
    <w:rsid w:val="00155FC2"/>
    <w:rsid w:val="001A5FEF"/>
    <w:rsid w:val="001C4574"/>
    <w:rsid w:val="00210F44"/>
    <w:rsid w:val="00225E2E"/>
    <w:rsid w:val="0023735D"/>
    <w:rsid w:val="00263397"/>
    <w:rsid w:val="00263D7B"/>
    <w:rsid w:val="00273A1E"/>
    <w:rsid w:val="002924B7"/>
    <w:rsid w:val="002D5201"/>
    <w:rsid w:val="002E1AD0"/>
    <w:rsid w:val="002F10FE"/>
    <w:rsid w:val="0032059B"/>
    <w:rsid w:val="00345C5F"/>
    <w:rsid w:val="00357D0C"/>
    <w:rsid w:val="00392C69"/>
    <w:rsid w:val="003D7A21"/>
    <w:rsid w:val="003E278C"/>
    <w:rsid w:val="003E5251"/>
    <w:rsid w:val="003F6B7B"/>
    <w:rsid w:val="003F7272"/>
    <w:rsid w:val="004322F1"/>
    <w:rsid w:val="004460E3"/>
    <w:rsid w:val="004477FD"/>
    <w:rsid w:val="004A4A0E"/>
    <w:rsid w:val="004B0172"/>
    <w:rsid w:val="004B1B68"/>
    <w:rsid w:val="004C3EA4"/>
    <w:rsid w:val="004D3D24"/>
    <w:rsid w:val="005310A1"/>
    <w:rsid w:val="0057345F"/>
    <w:rsid w:val="0057407C"/>
    <w:rsid w:val="005819CF"/>
    <w:rsid w:val="005970B4"/>
    <w:rsid w:val="005A01A6"/>
    <w:rsid w:val="005B766C"/>
    <w:rsid w:val="005C29C0"/>
    <w:rsid w:val="005F4622"/>
    <w:rsid w:val="00603DE8"/>
    <w:rsid w:val="00684084"/>
    <w:rsid w:val="00685EE7"/>
    <w:rsid w:val="006A1D35"/>
    <w:rsid w:val="006B0A86"/>
    <w:rsid w:val="006C5306"/>
    <w:rsid w:val="006F45D2"/>
    <w:rsid w:val="0072502E"/>
    <w:rsid w:val="00734F32"/>
    <w:rsid w:val="007556F2"/>
    <w:rsid w:val="00760EC7"/>
    <w:rsid w:val="00784C00"/>
    <w:rsid w:val="00797AF3"/>
    <w:rsid w:val="007A1B4C"/>
    <w:rsid w:val="007C33B8"/>
    <w:rsid w:val="007E112A"/>
    <w:rsid w:val="007E6206"/>
    <w:rsid w:val="008421C1"/>
    <w:rsid w:val="00854BFB"/>
    <w:rsid w:val="0087355C"/>
    <w:rsid w:val="00882E43"/>
    <w:rsid w:val="00894EF4"/>
    <w:rsid w:val="008A2C13"/>
    <w:rsid w:val="008A768E"/>
    <w:rsid w:val="008B52A8"/>
    <w:rsid w:val="00936242"/>
    <w:rsid w:val="00946B24"/>
    <w:rsid w:val="0097436D"/>
    <w:rsid w:val="00995C25"/>
    <w:rsid w:val="009C6F70"/>
    <w:rsid w:val="009E3BF3"/>
    <w:rsid w:val="009F27A1"/>
    <w:rsid w:val="00A63541"/>
    <w:rsid w:val="00A64870"/>
    <w:rsid w:val="00AA7A11"/>
    <w:rsid w:val="00AD240A"/>
    <w:rsid w:val="00B20F10"/>
    <w:rsid w:val="00B42419"/>
    <w:rsid w:val="00B4719A"/>
    <w:rsid w:val="00BA0F13"/>
    <w:rsid w:val="00BB1456"/>
    <w:rsid w:val="00BB1801"/>
    <w:rsid w:val="00BC5667"/>
    <w:rsid w:val="00BD71A7"/>
    <w:rsid w:val="00BF68B6"/>
    <w:rsid w:val="00C246A2"/>
    <w:rsid w:val="00C437E4"/>
    <w:rsid w:val="00C44562"/>
    <w:rsid w:val="00C86220"/>
    <w:rsid w:val="00C977E1"/>
    <w:rsid w:val="00CD2F47"/>
    <w:rsid w:val="00CD6CB5"/>
    <w:rsid w:val="00D04E4E"/>
    <w:rsid w:val="00D63101"/>
    <w:rsid w:val="00D770FF"/>
    <w:rsid w:val="00DA1C39"/>
    <w:rsid w:val="00DB12D9"/>
    <w:rsid w:val="00DD7FF4"/>
    <w:rsid w:val="00DF79F2"/>
    <w:rsid w:val="00E36201"/>
    <w:rsid w:val="00E40681"/>
    <w:rsid w:val="00EB151D"/>
    <w:rsid w:val="00EC2BE6"/>
    <w:rsid w:val="00EE3AB2"/>
    <w:rsid w:val="00EF142F"/>
    <w:rsid w:val="00EF711A"/>
    <w:rsid w:val="00F1786C"/>
    <w:rsid w:val="00F3073C"/>
    <w:rsid w:val="00F704E8"/>
    <w:rsid w:val="00F75244"/>
    <w:rsid w:val="00F77572"/>
    <w:rsid w:val="00FD4F56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7BEB"/>
  <w15:docId w15:val="{F6A441B5-C3E8-4AD4-90A7-1E8DEF3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E8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03DE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03DE8"/>
    <w:rPr>
      <w:rFonts w:ascii="Calibri" w:eastAsia="Times New Roman" w:hAnsi="Calibri" w:cs="Times New Roman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45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456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C4456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F704E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7E4"/>
    <w:rPr>
      <w:rFonts w:ascii="Segoe UI" w:eastAsia="Times New Roman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F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5D2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6F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5D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8ADEC-DF31-440A-97B8-FB8C9AC0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</dc:creator>
  <cp:lastModifiedBy>Paulo Tamiazo</cp:lastModifiedBy>
  <cp:revision>4</cp:revision>
  <cp:lastPrinted>2023-05-11T19:38:00Z</cp:lastPrinted>
  <dcterms:created xsi:type="dcterms:W3CDTF">2025-05-27T15:08:00Z</dcterms:created>
  <dcterms:modified xsi:type="dcterms:W3CDTF">2025-05-27T16:00:00Z</dcterms:modified>
</cp:coreProperties>
</file>